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84" w:type="dxa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12584"/>
      </w:tblGrid>
      <w:tr w:rsidR="00BD3E53" w:rsidRPr="00BD3E53" w:rsidTr="00BD3E53">
        <w:trPr>
          <w:tblCellSpacing w:w="0" w:type="dxa"/>
        </w:trPr>
        <w:tc>
          <w:tcPr>
            <w:tcW w:w="9310" w:type="dxa"/>
            <w:vAlign w:val="center"/>
            <w:hideMark/>
          </w:tcPr>
          <w:tbl>
            <w:tblPr>
              <w:tblpPr w:leftFromText="142" w:rightFromText="142" w:vertAnchor="text" w:horzAnchor="margin" w:tblpY="-244"/>
              <w:tblOverlap w:val="never"/>
              <w:tblW w:w="101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40"/>
            </w:tblGrid>
            <w:tr w:rsidR="00BD3E53" w:rsidRPr="00BD3E53" w:rsidTr="00BD3E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3E53" w:rsidRPr="00BD3E53" w:rsidRDefault="00BD3E53" w:rsidP="0059382F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40" w:lineRule="atLeast"/>
                    <w:jc w:val="left"/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100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050"/>
                  </w:tblGrid>
                  <w:tr w:rsidR="00BD3E53" w:rsidRPr="00BD3E53" w:rsidTr="0059382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6E8FC4"/>
                        <w:vAlign w:val="center"/>
                        <w:hideMark/>
                      </w:tcPr>
                      <w:p w:rsidR="00BD3E53" w:rsidRPr="00BD3E53" w:rsidRDefault="00BD3E53" w:rsidP="0059382F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Tahoma" w:eastAsia="굴림" w:hAnsi="Tahoma" w:cs="Tahoma"/>
                            <w:b/>
                            <w:bCs/>
                            <w:color w:val="FFFFFF"/>
                            <w:kern w:val="0"/>
                            <w:sz w:val="21"/>
                            <w:szCs w:val="21"/>
                          </w:rPr>
                        </w:pPr>
                        <w:r w:rsidRPr="00BD3E53">
                          <w:rPr>
                            <w:rFonts w:ascii="Tahoma" w:eastAsia="굴림" w:hAnsi="Tahoma" w:cs="Tahoma"/>
                            <w:b/>
                            <w:bCs/>
                            <w:color w:val="FFFFFF"/>
                            <w:kern w:val="0"/>
                            <w:sz w:val="21"/>
                            <w:szCs w:val="21"/>
                          </w:rPr>
                          <w:t xml:space="preserve">1. </w:t>
                        </w:r>
                        <w:r w:rsidRPr="00BD3E53">
                          <w:rPr>
                            <w:rFonts w:ascii="Tahoma" w:eastAsia="굴림" w:hAnsi="Tahoma" w:cs="Tahoma"/>
                            <w:b/>
                            <w:bCs/>
                            <w:color w:val="FFFFFF"/>
                            <w:kern w:val="0"/>
                            <w:sz w:val="21"/>
                            <w:szCs w:val="21"/>
                          </w:rPr>
                          <w:t>회사개요</w:t>
                        </w:r>
                      </w:p>
                    </w:tc>
                  </w:tr>
                </w:tbl>
                <w:p w:rsidR="00BD3E53" w:rsidRPr="00BD3E53" w:rsidRDefault="00BD3E53" w:rsidP="0059382F">
                  <w:pPr>
                    <w:widowControl/>
                    <w:wordWrap/>
                    <w:autoSpaceDE/>
                    <w:autoSpaceDN/>
                    <w:spacing w:after="240" w:line="240" w:lineRule="atLeast"/>
                    <w:jc w:val="left"/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  <w:t>Anritsu Corp</w:t>
                  </w:r>
                  <w:proofErr w:type="gram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.(</w:t>
                  </w:r>
                  <w:proofErr w:type="gram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Japan)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1885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일본에서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창업이래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100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여년동안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개발된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기술력으로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세계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18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개국에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5,000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명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이상의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고용인을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가지고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있는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정보통신분야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최고위치에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글로벌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기업입니다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. 1996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한국현지법인이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설립되어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광통신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,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디지털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전송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,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이동통신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, RF &amp;Microwave 4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개의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사업분야에서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검증된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뛰어난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제품을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국내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시장에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공급하고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있습니다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.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또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2001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년에는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서비스센터에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이어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대전사무소가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개설되어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보다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글로벌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기업으로서의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경영강화와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고객의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요구에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빠르게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적응하고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있습니다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.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최근의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정보기술의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진보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,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특히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인터넷의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보급은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정보나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,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물건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흐름의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고속화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,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광역화를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가져와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비즈니스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기반이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크게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바뀌려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하고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있습니다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. Anritsu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정보통신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”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특히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인터넷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”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에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기반을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두어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광통신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또는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기가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바이트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이상의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초고속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통신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네트워크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분야에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심혈을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기울여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최신화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하는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한편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,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최근에는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이동통신시스템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연구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,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개발로부터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제조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,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보수까지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모든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것을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커버하는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각종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측정기를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세계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주요통신회사에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제공하고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있습니다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.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</w:rPr>
                    <w:t xml:space="preserve">1-1. 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</w:rPr>
                    <w:t>설립배경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당사는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Anritsu Corp. (Japan,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종업원수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5,000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여명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,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일본굴지의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상장회사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실질적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자회사로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현재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대주주인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안리쓰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홍콩법인은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지역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Manager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로서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,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글로벌화를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지향하는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Anritsu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사로서는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국내에서의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보다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나은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고객서비스와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영업력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증대를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위하여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개인회사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한일상사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와의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대리점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체제에서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현지법인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당사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설립하였습니다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. 1996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한국지사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설립이래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서비스센터와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대전지사를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두고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적극적인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국내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영업을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담당하고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있습니다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.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</w:rPr>
                    <w:t xml:space="preserve">1-2. 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</w:rPr>
                    <w:t>회사연혁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</w:rPr>
                    <w:t>및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</w:rPr>
                    <w:t>소개</w:t>
                  </w:r>
                </w:p>
                <w:tbl>
                  <w:tblPr>
                    <w:tblW w:w="100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5047"/>
                  </w:tblGrid>
                  <w:tr w:rsidR="00BD3E53" w:rsidRPr="00BD3E53" w:rsidTr="0059382F">
                    <w:trPr>
                      <w:trHeight w:val="2070"/>
                      <w:tblCellSpacing w:w="15" w:type="dxa"/>
                    </w:trPr>
                    <w:tc>
                      <w:tcPr>
                        <w:tcW w:w="5160" w:type="dxa"/>
                        <w:vAlign w:val="center"/>
                        <w:hideMark/>
                      </w:tcPr>
                      <w:p w:rsidR="00BD3E53" w:rsidRPr="00BD3E53" w:rsidRDefault="00BD3E53" w:rsidP="0059382F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>1996. 3. 27</w:t>
                        </w:r>
                        <w:proofErr w:type="gramStart"/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>. :</w:t>
                        </w:r>
                        <w:proofErr w:type="gramEnd"/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>미합중국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>피터</w:t>
                        </w:r>
                        <w:proofErr w:type="spellEnd"/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>에스</w:t>
                        </w:r>
                        <w:proofErr w:type="spellEnd"/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>샬판트</w:t>
                        </w:r>
                        <w:proofErr w:type="spellEnd"/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>이사취임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br/>
                          <w:t xml:space="preserve">1996. 4. </w:t>
                        </w:r>
                        <w:proofErr w:type="gramStart"/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>1. :</w:t>
                        </w:r>
                        <w:proofErr w:type="gramEnd"/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Anritsu Corporation 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>설립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>.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br/>
                          <w:t>1998. 10. 26</w:t>
                        </w:r>
                        <w:proofErr w:type="gramStart"/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>. :</w:t>
                        </w:r>
                        <w:proofErr w:type="gramEnd"/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>전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>이완우</w:t>
                        </w:r>
                        <w:proofErr w:type="spellEnd"/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>대표이사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>부임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>.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br/>
                          <w:t xml:space="preserve">1999. 9. : 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>자본증자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7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>억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>.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br/>
                          <w:t xml:space="preserve">2002. 4. </w:t>
                        </w:r>
                        <w:proofErr w:type="gramStart"/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>1. :</w:t>
                        </w:r>
                        <w:proofErr w:type="gramEnd"/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>전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>주현기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>대표이사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>부임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>.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br/>
                          <w:t xml:space="preserve">2003. 4. </w:t>
                        </w:r>
                        <w:proofErr w:type="gramStart"/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>1. :</w:t>
                        </w:r>
                        <w:proofErr w:type="gramEnd"/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>전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>세끼네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>신지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>대표이사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>부임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>.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br/>
                          <w:t>2003. 7. 30</w:t>
                        </w:r>
                        <w:proofErr w:type="gramStart"/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>. :</w:t>
                        </w:r>
                        <w:proofErr w:type="gramEnd"/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>현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>도시가께</w:t>
                        </w:r>
                        <w:proofErr w:type="spellEnd"/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>후미타까</w:t>
                        </w:r>
                        <w:proofErr w:type="spellEnd"/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>대표이사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>부임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>.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br/>
                          <w:t xml:space="preserve">2003. 10. </w:t>
                        </w:r>
                        <w:proofErr w:type="gramStart"/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>1 :</w:t>
                        </w:r>
                        <w:proofErr w:type="gramEnd"/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>현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>김기석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>사장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>취임</w:t>
                        </w:r>
                        <w:r w:rsidRPr="00BD3E53"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5100" w:type="dxa"/>
                        <w:vAlign w:val="center"/>
                        <w:hideMark/>
                      </w:tcPr>
                      <w:p w:rsidR="00BD3E53" w:rsidRPr="00BD3E53" w:rsidRDefault="00BD3E53" w:rsidP="0059382F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right"/>
                          <w:rPr>
                            <w:rFonts w:ascii="Tahoma" w:eastAsia="굴림" w:hAnsi="Tahoma" w:cs="Tahoma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굴림" w:hAnsi="Tahoma" w:cs="Tahoma"/>
                            <w:noProof/>
                            <w:color w:val="333333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905000" cy="1276350"/>
                              <wp:effectExtent l="19050" t="0" r="0" b="0"/>
                              <wp:docPr id="9" name="그림 4" descr="http://www.anritsu.co.kr/website/compic/Anritsu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anritsu.co.kr/website/compic/Anritsu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27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D3E53" w:rsidRPr="00BD3E53" w:rsidRDefault="00BD3E53" w:rsidP="0059382F">
                  <w:pPr>
                    <w:widowControl/>
                    <w:wordWrap/>
                    <w:autoSpaceDE/>
                    <w:autoSpaceDN/>
                    <w:spacing w:after="240" w:line="240" w:lineRule="atLeast"/>
                    <w:jc w:val="left"/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</w:rPr>
                    <w:t xml:space="preserve">1-3. 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</w:rPr>
                    <w:t>주요기술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1916 :</w:t>
                  </w:r>
                  <w:proofErr w:type="gram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세계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최초로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무선전화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Service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시작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.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1977 :</w:t>
                  </w:r>
                  <w:proofErr w:type="gram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광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통신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관련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계측기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개발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,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판매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.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1999 :</w:t>
                  </w:r>
                  <w:proofErr w:type="gram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W-CDMA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관련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계측기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개발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.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2002 :</w:t>
                  </w:r>
                  <w:proofErr w:type="gram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IP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장비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관련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계측기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개발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,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판매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.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</w:p>
                <w:tbl>
                  <w:tblPr>
                    <w:tblW w:w="100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050"/>
                  </w:tblGrid>
                  <w:tr w:rsidR="00BD3E53" w:rsidRPr="00BD3E53" w:rsidTr="0059382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6E8FC4"/>
                        <w:vAlign w:val="center"/>
                        <w:hideMark/>
                      </w:tcPr>
                      <w:p w:rsidR="00BD3E53" w:rsidRPr="00BD3E53" w:rsidRDefault="00BD3E53" w:rsidP="0059382F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Tahoma" w:eastAsia="굴림" w:hAnsi="Tahoma" w:cs="Tahoma"/>
                            <w:b/>
                            <w:bCs/>
                            <w:color w:val="FFFFFF"/>
                            <w:kern w:val="0"/>
                            <w:sz w:val="21"/>
                            <w:szCs w:val="21"/>
                          </w:rPr>
                        </w:pPr>
                        <w:r w:rsidRPr="00BD3E53">
                          <w:rPr>
                            <w:rFonts w:ascii="Tahoma" w:eastAsia="굴림" w:hAnsi="Tahoma" w:cs="Tahoma"/>
                            <w:b/>
                            <w:bCs/>
                            <w:color w:val="FFFFFF"/>
                            <w:kern w:val="0"/>
                            <w:sz w:val="21"/>
                            <w:szCs w:val="21"/>
                          </w:rPr>
                          <w:t xml:space="preserve">2. </w:t>
                        </w:r>
                        <w:r w:rsidRPr="00BD3E53">
                          <w:rPr>
                            <w:rFonts w:ascii="Tahoma" w:eastAsia="굴림" w:hAnsi="Tahoma" w:cs="Tahoma"/>
                            <w:b/>
                            <w:bCs/>
                            <w:color w:val="FFFFFF"/>
                            <w:kern w:val="0"/>
                            <w:sz w:val="21"/>
                            <w:szCs w:val="21"/>
                          </w:rPr>
                          <w:t>사업개요</w:t>
                        </w:r>
                      </w:p>
                    </w:tc>
                  </w:tr>
                </w:tbl>
                <w:p w:rsidR="00BD3E53" w:rsidRPr="00BD3E53" w:rsidRDefault="00BD3E53" w:rsidP="0059382F">
                  <w:pPr>
                    <w:widowControl/>
                    <w:wordWrap/>
                    <w:autoSpaceDE/>
                    <w:autoSpaceDN/>
                    <w:spacing w:after="240" w:line="240" w:lineRule="atLeast"/>
                    <w:jc w:val="left"/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  <w:t xml:space="preserve">IP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능력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강화를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통한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전세계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정보화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사회의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발전에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기여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인터넷의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지속적인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확장을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지원하기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위한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초고속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,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대용량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정보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통신망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,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특히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광통신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및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차세대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모바일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통신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분야에서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안리쓰는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첨단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측정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/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통신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솔루션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및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디바이스를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제공하여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전세계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네트워크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사회의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지속적인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성장과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발전에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결정적인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역할을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하고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있습니다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.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오늘날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광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네트워크는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초고속의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파장분할장치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(WDM: Wavelength Division Multiplexing)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에서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광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신호를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변환하지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않고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바로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IP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라우팅을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실행할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있는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새로운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포토닉스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네트워크로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전환해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가고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있습니다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안리쓰는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고객들이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이러한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변화에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발맞춰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나갈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있도록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최적의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포토닉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네트워킹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솔루션을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제공하기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위해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최첨단의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광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/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초고속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디바이스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, IP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측정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,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통신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기기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및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시스템에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우리의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기술적인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역량을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최대한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발휘하고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있습니다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.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지난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수년간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무선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측정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기술의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발전에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기여해온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결과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오늘날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안리쓰의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신호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프로토콜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분석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기술은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사실상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전세계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표준으로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자리매김하고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있습니다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.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이러한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핵심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기술을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통해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모바일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네트워킹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부분에서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최적의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측정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솔루션을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제공하여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여러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가지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통신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시스템을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실현해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주는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새로운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세대를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펼쳐나가고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있습니다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.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또한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“Discover What’s Possible”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이라는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기업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이념에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맞게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우리의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고객들을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위해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새로운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가치를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창출하는데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총력을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다하고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lastRenderedPageBreak/>
                    <w:t>그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일환으로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정보화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사회에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기여할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것입니다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.</w:t>
                  </w:r>
                </w:p>
                <w:tbl>
                  <w:tblPr>
                    <w:tblW w:w="100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050"/>
                  </w:tblGrid>
                  <w:tr w:rsidR="00BD3E53" w:rsidRPr="00BD3E53" w:rsidTr="0059382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6E8FC4"/>
                        <w:vAlign w:val="center"/>
                        <w:hideMark/>
                      </w:tcPr>
                      <w:p w:rsidR="00BD3E53" w:rsidRPr="00BD3E53" w:rsidRDefault="00BD3E53" w:rsidP="0059382F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Tahoma" w:eastAsia="굴림" w:hAnsi="Tahoma" w:cs="Tahoma"/>
                            <w:b/>
                            <w:bCs/>
                            <w:color w:val="FFFFFF"/>
                            <w:kern w:val="0"/>
                            <w:sz w:val="21"/>
                            <w:szCs w:val="21"/>
                          </w:rPr>
                        </w:pPr>
                        <w:r w:rsidRPr="00BD3E53">
                          <w:rPr>
                            <w:rFonts w:ascii="Tahoma" w:eastAsia="굴림" w:hAnsi="Tahoma" w:cs="Tahoma"/>
                            <w:b/>
                            <w:bCs/>
                            <w:color w:val="FFFFFF"/>
                            <w:kern w:val="0"/>
                            <w:sz w:val="21"/>
                            <w:szCs w:val="21"/>
                          </w:rPr>
                          <w:t xml:space="preserve">3. </w:t>
                        </w:r>
                        <w:r w:rsidRPr="00BD3E53">
                          <w:rPr>
                            <w:rFonts w:ascii="Tahoma" w:eastAsia="굴림" w:hAnsi="Tahoma" w:cs="Tahoma"/>
                            <w:b/>
                            <w:bCs/>
                            <w:color w:val="FFFFFF"/>
                            <w:kern w:val="0"/>
                            <w:sz w:val="21"/>
                            <w:szCs w:val="21"/>
                          </w:rPr>
                          <w:t>사업분야</w:t>
                        </w:r>
                      </w:p>
                    </w:tc>
                  </w:tr>
                </w:tbl>
                <w:p w:rsidR="00BD3E53" w:rsidRPr="00BD3E53" w:rsidRDefault="00BD3E53" w:rsidP="0059382F">
                  <w:pPr>
                    <w:widowControl/>
                    <w:wordWrap/>
                    <w:autoSpaceDE/>
                    <w:autoSpaceDN/>
                    <w:spacing w:before="100" w:beforeAutospacing="1" w:after="240" w:line="240" w:lineRule="atLeast"/>
                    <w:jc w:val="left"/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 xml:space="preserve">3-1. 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>무선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>사업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>분야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  <w:t xml:space="preserve">3G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모바일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솔루션을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위한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테스트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솔루션은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전세계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무선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광대역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통신의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미래를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이끌어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나가고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있습니다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.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기술이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급속도로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발전하고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있는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시대에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안리쓰는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전세계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통신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표준으로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3G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실현에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필수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불가결한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3G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모바일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시스템의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테스트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솔루션을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개발하여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현재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전세계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시장에서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1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위인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선두주자로서의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확고한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입지를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다지기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위해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노력하고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있습니다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.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안리쓰는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3G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모바일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시스템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및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3G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이후의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차세대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시스템에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필요한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첨단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테스트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솔루션을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보다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신속하게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제공하기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위해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북미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,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유럽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,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아시아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등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전세계에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개발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및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공급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체계를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갖추고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있으며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모바일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통신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단말기와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기지국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,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통신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단말기를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위한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무선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모듈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고주파수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부품을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비롯하여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광범위의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무선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통신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장비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개발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,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제조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및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유지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보수에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필수적인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측정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기기들을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개발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,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생산하고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있습니다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.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이러한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제품들을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적시에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공급하고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고주파수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신호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분석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/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평가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지원을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제공함으로써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안리쓰는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전세계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무선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광대역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시장의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끊임없는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요구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변화에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부합하는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최적의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테스트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솔루션을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제공할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있게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되었습니다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.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 xml:space="preserve">3-2.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>포토닉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>사업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>분야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미래의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포토닉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네트워크를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구축하기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위한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신뢰성을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갖춘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광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/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초고속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테스트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솔루션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제공합니다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.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안리쓰는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광통신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사업이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진행되어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가기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이전부터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이러한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측정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기기들을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개발하기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시작했습니다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포토닉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네트워크를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실현하는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데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반드시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필요한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장비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시스템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및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디바이스의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핵심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공급업체로서의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역할을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해왔습니다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.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또한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안리쓰는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초고속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/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광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기술과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같은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핵심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기술들을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적용하여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48Gbit/s BERTS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물론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,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박스형태의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하나의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솔루션으로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10Git/s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에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이르는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실시간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측정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기능들을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가능하게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하는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IP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분석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기술을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실현했습니다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.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이러한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분야에서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안리쓰는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미래의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광대역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중심의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사회에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대한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전망을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갖고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적극적인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연구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및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개발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활동을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해오고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있습니다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.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게다가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미국과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일본의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R&amp;D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시설에서는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포토닉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네트워크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장비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및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시스템을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개발하고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있으며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,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최고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전송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속도를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80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Gib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/s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로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,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향후에는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160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Gbit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/s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로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끌어올릴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계획입니다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.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 xml:space="preserve">3-3. IP 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>사업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>분야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광대역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시대를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고려한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뛰어난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신뢰성의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IP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기반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시스템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솔루션을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제공합니다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.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  <w:t>IP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21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세기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네트워크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사회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인프라의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핵심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역할을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함에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따라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,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뛰어난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신뢰성은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절대적인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핵심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요건이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되고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있습니다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.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이러한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요구에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부응하기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위해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고화질의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동화상을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빠르고도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높은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신뢰도로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전달해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주는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IP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멀티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캐스트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기술을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적용한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다기능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스위치인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MultiFlow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50000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선보였으며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서비스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중인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IP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네트워크의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오류를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분석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,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테스트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모니터링해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주는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최첨단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분석기를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개발하여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선보였습니다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.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고객들로부터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높은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평가를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받고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있는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이러한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통합형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분석기는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IP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네트워크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장비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개발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및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제조는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물론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IP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네트워크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구축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및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유지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관리에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기본적으로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폭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넓게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적용되고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있습니다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.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이들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제품은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IP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통신의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신뢰도를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크게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향상시켜주고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있습니다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.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</w:p>
                <w:tbl>
                  <w:tblPr>
                    <w:tblW w:w="100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050"/>
                  </w:tblGrid>
                  <w:tr w:rsidR="00BD3E53" w:rsidRPr="00BD3E53" w:rsidTr="0059382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6E8FC4"/>
                        <w:vAlign w:val="center"/>
                        <w:hideMark/>
                      </w:tcPr>
                      <w:p w:rsidR="00BD3E53" w:rsidRPr="00BD3E53" w:rsidRDefault="00BD3E53" w:rsidP="0059382F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Tahoma" w:eastAsia="굴림" w:hAnsi="Tahoma" w:cs="Tahoma"/>
                            <w:b/>
                            <w:bCs/>
                            <w:color w:val="FFFFFF"/>
                            <w:kern w:val="0"/>
                            <w:sz w:val="21"/>
                            <w:szCs w:val="21"/>
                          </w:rPr>
                        </w:pPr>
                        <w:r w:rsidRPr="00BD3E53">
                          <w:rPr>
                            <w:rFonts w:ascii="Tahoma" w:eastAsia="굴림" w:hAnsi="Tahoma" w:cs="Tahoma"/>
                            <w:b/>
                            <w:bCs/>
                            <w:color w:val="FFFFFF"/>
                            <w:kern w:val="0"/>
                            <w:sz w:val="21"/>
                            <w:szCs w:val="21"/>
                          </w:rPr>
                          <w:t xml:space="preserve">4. </w:t>
                        </w:r>
                        <w:r w:rsidRPr="00BD3E53">
                          <w:rPr>
                            <w:rFonts w:ascii="Tahoma" w:eastAsia="굴림" w:hAnsi="Tahoma" w:cs="Tahoma"/>
                            <w:b/>
                            <w:bCs/>
                            <w:color w:val="FFFFFF"/>
                            <w:kern w:val="0"/>
                            <w:sz w:val="21"/>
                            <w:szCs w:val="21"/>
                          </w:rPr>
                          <w:t>주요</w:t>
                        </w:r>
                        <w:r w:rsidRPr="00BD3E53">
                          <w:rPr>
                            <w:rFonts w:ascii="Tahoma" w:eastAsia="굴림" w:hAnsi="Tahoma" w:cs="Tahoma"/>
                            <w:b/>
                            <w:bCs/>
                            <w:color w:val="FFFFFF"/>
                            <w:kern w:val="0"/>
                            <w:sz w:val="21"/>
                            <w:szCs w:val="21"/>
                          </w:rPr>
                          <w:t xml:space="preserve"> </w:t>
                        </w:r>
                        <w:r w:rsidRPr="00BD3E53">
                          <w:rPr>
                            <w:rFonts w:ascii="Tahoma" w:eastAsia="굴림" w:hAnsi="Tahoma" w:cs="Tahoma"/>
                            <w:b/>
                            <w:bCs/>
                            <w:color w:val="FFFFFF"/>
                            <w:kern w:val="0"/>
                            <w:sz w:val="21"/>
                            <w:szCs w:val="21"/>
                          </w:rPr>
                          <w:t>측정장비</w:t>
                        </w:r>
                      </w:p>
                    </w:tc>
                  </w:tr>
                </w:tbl>
                <w:p w:rsidR="00BD3E53" w:rsidRPr="00BD3E53" w:rsidRDefault="00BD3E53" w:rsidP="0059382F">
                  <w:pPr>
                    <w:widowControl/>
                    <w:wordWrap/>
                    <w:autoSpaceDE/>
                    <w:autoSpaceDN/>
                    <w:spacing w:after="240" w:line="240" w:lineRule="atLeast"/>
                    <w:jc w:val="left"/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</w:pP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</w:rPr>
                    <w:t>4-1. Optical Communications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  <w:t>-Optical Spectrum Analyzer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  <w:t>-WDM Testers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  <w:t>-Optical Attenuators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  <w:t>-Optical Channel Drop Unit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  <w:t>-Optical Power Meters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  <w:t xml:space="preserve">-Optical Time Domain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Reflectometers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  <w:t>-Others &amp; Accessories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</w:rPr>
                    <w:t>4-2. Data Communications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  <w:t>-Pulse Pattern Generators/Error Detectors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  <w:t>-Network Data Analyzer/Data Transmission Analyzer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lastRenderedPageBreak/>
                    <w:t>-Jitter Analyzer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  <w:t>-SONET/SDH/PDH/ATM Analyzer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  <w:t>-IP Communication Analyzer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</w:rPr>
                    <w:t>4-3.Wireless Communications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  <w:t>-Digital Modulation Signal Generators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  <w:t>-Digital Mobile Radio Transmitter Tester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  <w:t>-Signaling Tester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  <w:t>-Area Tester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  <w:t>-Radio Communication Analyzer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  <w:t>-Bluetooth Measuring Instruments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  <w:t>-Bluetooth Pre Qualification Test System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  <w:t>-Site Master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  <w:t>-Spectrum Master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</w:rPr>
                    <w:t>4-4. RF &amp; Microwave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  <w:t>-Spectrum Analyzer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  <w:t>-Vector Network Analyzer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  <w:t>-Microwave Frequency Counters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  <w:t>-Calibration Receiver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  <w:t>-Power Meters/Voltmeters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</w:rPr>
                    <w:t xml:space="preserve">4-5. Others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  <w:t>-RF &amp; Microwave Components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  <w:t>-Optical Devices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  <w:t>-High Speed Devices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</w:p>
                <w:tbl>
                  <w:tblPr>
                    <w:tblW w:w="100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050"/>
                  </w:tblGrid>
                  <w:tr w:rsidR="00BD3E53" w:rsidRPr="00BD3E53" w:rsidTr="0059382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6E8FC4"/>
                        <w:vAlign w:val="center"/>
                        <w:hideMark/>
                      </w:tcPr>
                      <w:p w:rsidR="00BD3E53" w:rsidRPr="00BD3E53" w:rsidRDefault="00BD3E53" w:rsidP="0059382F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Tahoma" w:eastAsia="굴림" w:hAnsi="Tahoma" w:cs="Tahoma"/>
                            <w:b/>
                            <w:bCs/>
                            <w:color w:val="FFFFFF"/>
                            <w:kern w:val="0"/>
                            <w:sz w:val="21"/>
                            <w:szCs w:val="21"/>
                          </w:rPr>
                        </w:pPr>
                        <w:r w:rsidRPr="00BD3E53">
                          <w:rPr>
                            <w:rFonts w:ascii="Tahoma" w:eastAsia="굴림" w:hAnsi="Tahoma" w:cs="Tahoma"/>
                            <w:b/>
                            <w:bCs/>
                            <w:color w:val="FFFFFF"/>
                            <w:kern w:val="0"/>
                            <w:sz w:val="21"/>
                            <w:szCs w:val="21"/>
                          </w:rPr>
                          <w:t xml:space="preserve">5. </w:t>
                        </w:r>
                        <w:r w:rsidRPr="00BD3E53">
                          <w:rPr>
                            <w:rFonts w:ascii="Tahoma" w:eastAsia="굴림" w:hAnsi="Tahoma" w:cs="Tahoma"/>
                            <w:b/>
                            <w:bCs/>
                            <w:color w:val="FFFFFF"/>
                            <w:kern w:val="0"/>
                            <w:sz w:val="21"/>
                            <w:szCs w:val="21"/>
                          </w:rPr>
                          <w:t>사업방향</w:t>
                        </w:r>
                        <w:r w:rsidRPr="00BD3E53">
                          <w:rPr>
                            <w:rFonts w:ascii="Tahoma" w:eastAsia="굴림" w:hAnsi="Tahoma" w:cs="Tahoma"/>
                            <w:b/>
                            <w:bCs/>
                            <w:color w:val="FFFFFF"/>
                            <w:kern w:val="0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</w:tbl>
                <w:p w:rsidR="00BD3E53" w:rsidRPr="00BD3E53" w:rsidRDefault="00BD3E53" w:rsidP="0059382F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40" w:lineRule="atLeast"/>
                    <w:jc w:val="center"/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333333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3943350" cy="2590800"/>
                        <wp:effectExtent l="19050" t="0" r="0" b="0"/>
                        <wp:docPr id="10" name="그림 5" descr="http://www.anritsu.co.kr/website/compic/BDandC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anritsu.co.kr/website/compic/BDandC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43350" cy="2590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3E53" w:rsidRPr="00BD3E53" w:rsidRDefault="00BD3E53" w:rsidP="0059382F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40" w:lineRule="atLeast"/>
                    <w:jc w:val="left"/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</w:pPr>
                  <w:proofErr w:type="spellStart"/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>광대역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>시대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>이끄는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>지능형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>제품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>개발에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>주력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오늘날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인터넷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,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특히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모바일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인터넷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관련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사업들은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보다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빠른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전송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속도는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물론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보다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뛰어난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품질의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이미지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및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동영상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전송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능력을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요구하고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있습니다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.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전통적인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음성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통신망은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인터넷을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이용한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IP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텔레포니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시스템으로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교체되고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있으며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.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초고속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/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대용량의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포토닉스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네트워크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, 3G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및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4G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모바일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통신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시스템을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지원하는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차세대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네트워크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,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그리고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광대역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무선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액세스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(BWA)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진정한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유비쿼터스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네트워크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시대를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앞당겨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나갈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있도록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계속해서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발전을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거듭하고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있습니다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.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이렇게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발전하는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역사적인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시점에서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안리쓰는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정보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사회의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가치를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드높이는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구조적인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혁신을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적극적으로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추구하고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lastRenderedPageBreak/>
                    <w:t>있습니다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안리쓰는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모든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역량을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네트워크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사회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인프라의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핵심인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“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모바일과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인터넷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”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관련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사업에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집중시키고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있습니다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.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앞으로도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지속적으로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증가할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IP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수요와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또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다른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포토닉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기술에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대한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요구를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수용하기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위해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유연하고도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시장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변화에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즉각적으로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대처해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나갈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있는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기업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조직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체계를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갖추어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나가는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데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박차를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가하고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있습니다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.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또한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독창적이며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고품질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”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제품과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서비스를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제공하는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동시에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고객들의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투자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이익을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최대화하기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위한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지원을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아끼지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않고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있습니다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안리쓰는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제품을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만들어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판매하는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기업에만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머무르지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않고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지혜와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지성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”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뒷받침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보다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지능적인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제품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브랜드를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제조하고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판매하는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기업이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되도록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추진해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나갈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것입니다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.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>개발에서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>서비스에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>이르는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>포괄적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>품질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>제어능력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안리쓰의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모든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제품들은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ISO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국제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표준에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부합하는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품질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제어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관리를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갖추고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있습니다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.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이러한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포괄적인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품질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제어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시스템을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통해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개발에서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제조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,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검사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,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서비스에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이르는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제품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개발의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모든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단계에서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걸친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확실한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품질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/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신뢰도를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보장합니다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.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표준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장비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개발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주기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,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측정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환경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향상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및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제어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시스템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강화를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기반으로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뛰어난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정확도를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보장하는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새로운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측정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방법을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끊임없이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고안해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나가고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있습니다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.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자사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내부의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표준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사업부에서는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안리쓰의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측정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기기의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정밀도를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유지하고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제어하는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임무를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갖고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있으며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이와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같은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방식으로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제조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현장에서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사용되는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기기들은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고도의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정밀도를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보장해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주는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표준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기기를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통해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일정한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재보정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작업을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거치면서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유지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관리되고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있습니다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안리쓰는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고주파수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파워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,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레이저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파워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및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고주파수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감쇠기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분야에서는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JCSS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인증을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받고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있으며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,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높은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정밀도의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관리능력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서비스들을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제공하고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있습니다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.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>환경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>보존을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>위한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>보다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>신속하고도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>포괄적인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>역할에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b/>
                      <w:bCs/>
                      <w:color w:val="6E8FC4"/>
                      <w:kern w:val="0"/>
                      <w:sz w:val="18"/>
                      <w:szCs w:val="18"/>
                    </w:rPr>
                    <w:t>주력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안리쓰는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1970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년에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환경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보존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프로그램을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시작으로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에너지와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자원을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절약하고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쓰레기를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줄이며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잠재적으로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유해한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영향을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미칠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있는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화학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물질을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효율적으로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관리해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오고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있습니다</w:t>
                  </w:r>
                  <w:proofErr w:type="gram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.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녹색</w:t>
                  </w:r>
                  <w:proofErr w:type="gram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구매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가이드라인을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장려하는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안리쓰의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친환경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제품인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‘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이코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프로덕트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’(Eco Products)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시스템은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2000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년에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만들어졌으며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안리쓰의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친환경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인증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표시제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”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를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통해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모든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제품은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제품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및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제조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방식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평가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프로그램의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엄격한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표준과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Co2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배출을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평가하는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LCA(Life Cycle Assessment)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에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부합해야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합니다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.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이러한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친환경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프로그램들을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통해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안리쓰의</w:t>
                  </w:r>
                  <w:proofErr w:type="spellEnd"/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직원들에게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환경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생각하는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마인드를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길러줌으로써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나아가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지역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사회의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환경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보존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활동에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참여하려고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합니다</w:t>
                  </w:r>
                  <w:r w:rsidRPr="00BD3E53"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BD3E53" w:rsidRPr="00BD3E53" w:rsidRDefault="00BD3E53" w:rsidP="00BD3E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Tahoma" w:eastAsia="굴림" w:hAnsi="Tahoma" w:cs="Tahoma"/>
                <w:color w:val="333333"/>
                <w:kern w:val="0"/>
                <w:sz w:val="18"/>
                <w:szCs w:val="18"/>
              </w:rPr>
            </w:pPr>
          </w:p>
        </w:tc>
      </w:tr>
      <w:tr w:rsidR="00BD3E53" w:rsidRPr="00BD3E53" w:rsidTr="00BD3E53">
        <w:trPr>
          <w:tblCellSpacing w:w="0" w:type="dxa"/>
        </w:trPr>
        <w:tc>
          <w:tcPr>
            <w:tcW w:w="9310" w:type="dxa"/>
            <w:vAlign w:val="center"/>
            <w:hideMark/>
          </w:tcPr>
          <w:p w:rsidR="00BD3E53" w:rsidRPr="00BD3E53" w:rsidRDefault="00BD3E53" w:rsidP="00BD3E5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Tahoma" w:eastAsia="굴림" w:hAnsi="Tahoma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ascii="Tahoma" w:eastAsia="굴림" w:hAnsi="Tahoma" w:cs="Tahoma"/>
                <w:noProof/>
                <w:color w:val="333333"/>
                <w:kern w:val="0"/>
                <w:sz w:val="18"/>
                <w:szCs w:val="18"/>
              </w:rPr>
              <w:lastRenderedPageBreak/>
              <w:drawing>
                <wp:inline distT="0" distB="0" distL="0" distR="0">
                  <wp:extent cx="190500" cy="190500"/>
                  <wp:effectExtent l="0" t="0" r="0" b="0"/>
                  <wp:docPr id="2" name="그림 2" descr="http://www.anritsu.co.kr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nritsu.co.kr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E53" w:rsidRPr="00BD3E53" w:rsidTr="00BD3E53">
        <w:trPr>
          <w:tblCellSpacing w:w="0" w:type="dxa"/>
        </w:trPr>
        <w:tc>
          <w:tcPr>
            <w:tcW w:w="9310" w:type="dxa"/>
            <w:vAlign w:val="center"/>
            <w:hideMark/>
          </w:tcPr>
          <w:tbl>
            <w:tblPr>
              <w:tblW w:w="1017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70"/>
            </w:tblGrid>
            <w:tr w:rsidR="00BD3E53" w:rsidRPr="00BD3E5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3E53" w:rsidRPr="00BD3E53" w:rsidRDefault="00BD3E53" w:rsidP="00BD3E5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Tahoma" w:eastAsia="굴림" w:hAnsi="Tahoma" w:cs="Tahoma"/>
                      <w:color w:val="333333"/>
                      <w:kern w:val="0"/>
                      <w:szCs w:val="20"/>
                    </w:rPr>
                  </w:pPr>
                </w:p>
              </w:tc>
            </w:tr>
          </w:tbl>
          <w:p w:rsidR="00BD3E53" w:rsidRPr="00BD3E53" w:rsidRDefault="00BD3E53" w:rsidP="00BD3E53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ahoma" w:eastAsia="굴림" w:hAnsi="Tahoma" w:cs="Tahoma"/>
                <w:color w:val="333333"/>
                <w:kern w:val="0"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XSpec="center" w:tblpY="1881"/>
        <w:tblOverlap w:val="never"/>
        <w:tblW w:w="12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300"/>
      </w:tblGrid>
      <w:tr w:rsidR="00BD3E53" w:rsidRPr="00BD3E53" w:rsidTr="00BD3E53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E53" w:rsidRPr="00BD3E53" w:rsidRDefault="00BD3E53" w:rsidP="00BD3E53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ahoma" w:eastAsia="굴림" w:hAnsi="Tahoma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ascii="Tahoma" w:eastAsia="굴림" w:hAnsi="Tahoma" w:cs="Tahoma"/>
                <w:noProof/>
                <w:color w:val="333333"/>
                <w:kern w:val="0"/>
                <w:sz w:val="18"/>
                <w:szCs w:val="18"/>
              </w:rPr>
              <w:drawing>
                <wp:inline distT="0" distB="0" distL="0" distR="0">
                  <wp:extent cx="4762500" cy="1152525"/>
                  <wp:effectExtent l="19050" t="0" r="0" b="0"/>
                  <wp:docPr id="7" name="그림 3" descr="http://www.anritsu.co.kr/website/compic/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nritsu.co.kr/website/compic/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굴림" w:hAnsi="Tahoma" w:cs="Tahoma"/>
                <w:noProof/>
                <w:color w:val="333333"/>
                <w:kern w:val="0"/>
                <w:sz w:val="18"/>
                <w:szCs w:val="18"/>
              </w:rPr>
              <w:drawing>
                <wp:inline distT="0" distB="0" distL="0" distR="0">
                  <wp:extent cx="190500" cy="190500"/>
                  <wp:effectExtent l="0" t="0" r="0" b="0"/>
                  <wp:docPr id="8" name="그림 1" descr="http://www.anritsu.co.kr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nritsu.co.kr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E53" w:rsidRPr="00BD3E53" w:rsidTr="00BD3E5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0"/>
            </w:tblGrid>
            <w:tr w:rsidR="00BD3E53" w:rsidRPr="00BD3E53" w:rsidTr="0000504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400"/>
                  </w:tblGrid>
                  <w:tr w:rsidR="00BD3E53" w:rsidRPr="00BD3E53" w:rsidTr="0000504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9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D3E53" w:rsidRPr="00BD3E53" w:rsidRDefault="00BD3E53" w:rsidP="00BD3E53">
                        <w:pPr>
                          <w:framePr w:hSpace="142" w:wrap="around" w:vAnchor="text" w:hAnchor="margin" w:xAlign="center" w:y="1881"/>
                          <w:widowControl/>
                          <w:wordWrap/>
                          <w:autoSpaceDE/>
                          <w:autoSpaceDN/>
                          <w:spacing w:line="240" w:lineRule="atLeast"/>
                          <w:suppressOverlap/>
                          <w:jc w:val="right"/>
                          <w:rPr>
                            <w:rFonts w:ascii="굴림" w:eastAsia="굴림" w:hAnsi="굴림" w:cs="Tahoma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BD3E53">
                          <w:rPr>
                            <w:rFonts w:ascii="굴림" w:eastAsia="굴림" w:hAnsi="굴림" w:cs="Tahoma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Home &gt; 회사개요</w:t>
                        </w:r>
                      </w:p>
                    </w:tc>
                  </w:tr>
                </w:tbl>
                <w:p w:rsidR="00BD3E53" w:rsidRPr="00BD3E53" w:rsidRDefault="00BD3E53" w:rsidP="00BD3E53">
                  <w:pPr>
                    <w:framePr w:hSpace="142" w:wrap="around" w:vAnchor="text" w:hAnchor="margin" w:xAlign="center" w:y="1881"/>
                    <w:widowControl/>
                    <w:wordWrap/>
                    <w:autoSpaceDE/>
                    <w:autoSpaceDN/>
                    <w:spacing w:line="240" w:lineRule="atLeast"/>
                    <w:suppressOverlap/>
                    <w:jc w:val="left"/>
                    <w:rPr>
                      <w:rFonts w:ascii="Tahoma" w:eastAsia="굴림" w:hAnsi="Tahoma" w:cs="Tahoma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BD3E53" w:rsidRPr="00BD3E53" w:rsidRDefault="00BD3E53" w:rsidP="00BD3E53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ahoma" w:eastAsia="굴림" w:hAnsi="Tahoma" w:cs="Tahoma"/>
                <w:color w:val="333333"/>
                <w:kern w:val="0"/>
                <w:sz w:val="18"/>
                <w:szCs w:val="18"/>
              </w:rPr>
            </w:pPr>
          </w:p>
        </w:tc>
      </w:tr>
    </w:tbl>
    <w:p w:rsidR="007601C8" w:rsidRPr="00BD3E53" w:rsidRDefault="007601C8"/>
    <w:sectPr w:rsidR="007601C8" w:rsidRPr="00BD3E53" w:rsidSect="007601C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D3E53"/>
    <w:rsid w:val="007601C8"/>
    <w:rsid w:val="00BD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E5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18"/>
      <w:szCs w:val="18"/>
    </w:rPr>
  </w:style>
  <w:style w:type="character" w:customStyle="1" w:styleId="style61">
    <w:name w:val="style61"/>
    <w:basedOn w:val="a0"/>
    <w:rsid w:val="00BD3E53"/>
    <w:rPr>
      <w:b/>
      <w:bCs/>
      <w:color w:val="6E8FC4"/>
    </w:rPr>
  </w:style>
  <w:style w:type="character" w:styleId="a4">
    <w:name w:val="Strong"/>
    <w:basedOn w:val="a0"/>
    <w:uiPriority w:val="22"/>
    <w:qFormat/>
    <w:rsid w:val="00BD3E5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D3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D3E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2009-11-07T05:14:00Z</dcterms:created>
  <dcterms:modified xsi:type="dcterms:W3CDTF">2009-11-07T05:16:00Z</dcterms:modified>
</cp:coreProperties>
</file>